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D1D2" w14:textId="347D0AAD" w:rsidR="004356AB" w:rsidRPr="004356AB" w:rsidRDefault="004356AB" w:rsidP="008B7CB4">
      <w:pPr>
        <w:widowControl/>
        <w:spacing w:beforeLines="50" w:before="180" w:afterLines="50" w:after="180" w:line="340" w:lineRule="exact"/>
        <w:jc w:val="center"/>
        <w:rPr>
          <w:rFonts w:ascii="Times New Roman" w:eastAsia="標楷體" w:hAnsi="Times New Roman" w:cs="Times New Roman"/>
          <w:b/>
          <w:kern w:val="0"/>
          <w:sz w:val="34"/>
          <w:szCs w:val="34"/>
        </w:rPr>
      </w:pPr>
      <w:r w:rsidRPr="004356AB">
        <w:rPr>
          <w:rFonts w:ascii="Times New Roman" w:eastAsia="標楷體" w:hAnsi="Times New Roman" w:cs="Times New Roman"/>
          <w:b/>
          <w:kern w:val="0"/>
          <w:sz w:val="34"/>
          <w:szCs w:val="34"/>
        </w:rPr>
        <w:t>封閉型基金買賣風險預告書</w:t>
      </w:r>
    </w:p>
    <w:p w14:paraId="08C3565C" w14:textId="77777777" w:rsidR="004356AB" w:rsidRPr="004356AB" w:rsidRDefault="004356AB" w:rsidP="008B7CB4">
      <w:pPr>
        <w:widowControl/>
        <w:spacing w:line="340" w:lineRule="exact"/>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本風險預告書係依據中華民國證券商業同業公會「證券商受託買賣外國有價證券管理辦法」第六條之二第二項規定訂之。</w:t>
      </w:r>
    </w:p>
    <w:p w14:paraId="48D4BEA5" w14:textId="77777777" w:rsidR="004356AB" w:rsidRPr="004356AB" w:rsidRDefault="004356AB" w:rsidP="008B7CB4">
      <w:pPr>
        <w:widowControl/>
        <w:spacing w:line="340" w:lineRule="exact"/>
        <w:jc w:val="both"/>
        <w:rPr>
          <w:rFonts w:ascii="Times New Roman" w:eastAsia="標楷體" w:hAnsi="Times New Roman" w:cs="Times New Roman"/>
          <w:color w:val="FF0000"/>
          <w:kern w:val="0"/>
          <w:sz w:val="22"/>
        </w:rPr>
      </w:pPr>
      <w:r w:rsidRPr="004356AB">
        <w:rPr>
          <w:rFonts w:ascii="Times New Roman" w:eastAsia="標楷體" w:hAnsi="Times New Roman" w:cs="Times New Roman"/>
          <w:color w:val="000000"/>
          <w:kern w:val="0"/>
          <w:sz w:val="22"/>
        </w:rPr>
        <w:t>封閉型基金</w:t>
      </w:r>
      <w:r w:rsidRPr="004356AB">
        <w:rPr>
          <w:rFonts w:ascii="Times New Roman" w:eastAsia="標楷體" w:hAnsi="Times New Roman" w:cs="Times New Roman"/>
          <w:color w:val="000000"/>
          <w:kern w:val="0"/>
          <w:sz w:val="22"/>
        </w:rPr>
        <w:t>(</w:t>
      </w:r>
      <w:r w:rsidRPr="004356AB">
        <w:rPr>
          <w:rFonts w:ascii="Times New Roman" w:eastAsia="標楷體" w:hAnsi="Times New Roman" w:cs="Times New Roman"/>
          <w:color w:val="000000"/>
          <w:kern w:val="0"/>
          <w:sz w:val="22"/>
        </w:rPr>
        <w:t>英文</w:t>
      </w:r>
      <w:r w:rsidRPr="004356AB">
        <w:rPr>
          <w:rFonts w:ascii="Times New Roman" w:eastAsia="標楷體" w:hAnsi="Times New Roman" w:cs="Times New Roman"/>
          <w:color w:val="000000"/>
          <w:kern w:val="0"/>
          <w:sz w:val="22"/>
        </w:rPr>
        <w:t>:Closed end Funds ,</w:t>
      </w:r>
      <w:r w:rsidRPr="004356AB">
        <w:rPr>
          <w:rFonts w:ascii="Times New Roman" w:eastAsia="標楷體" w:hAnsi="Times New Roman" w:cs="Times New Roman"/>
          <w:color w:val="000000"/>
          <w:kern w:val="0"/>
          <w:sz w:val="22"/>
        </w:rPr>
        <w:t>下稱</w:t>
      </w:r>
      <w:r w:rsidRPr="004356AB">
        <w:rPr>
          <w:rFonts w:ascii="Times New Roman" w:eastAsia="標楷體" w:hAnsi="Times New Roman" w:cs="Times New Roman"/>
          <w:color w:val="000000"/>
          <w:kern w:val="0"/>
          <w:sz w:val="22"/>
        </w:rPr>
        <w:t>CEF)</w:t>
      </w:r>
      <w:r w:rsidRPr="004356AB">
        <w:rPr>
          <w:rFonts w:ascii="Times New Roman" w:eastAsia="標楷體" w:hAnsi="Times New Roman" w:cs="Times New Roman"/>
          <w:color w:val="000000"/>
          <w:kern w:val="0"/>
          <w:sz w:val="22"/>
        </w:rPr>
        <w:t>係以一籃子有價證券商品之投資組合為主，以公司股票及債券為主要投資標的，投資種類包含股票型、債券型、特別股型、</w:t>
      </w:r>
      <w:r w:rsidRPr="004356AB">
        <w:rPr>
          <w:rFonts w:ascii="Times New Roman" w:eastAsia="標楷體" w:hAnsi="Times New Roman" w:cs="Times New Roman"/>
          <w:color w:val="000000"/>
          <w:kern w:val="0"/>
          <w:sz w:val="22"/>
        </w:rPr>
        <w:t>REITs</w:t>
      </w:r>
      <w:r w:rsidRPr="004356AB">
        <w:rPr>
          <w:rFonts w:ascii="Times New Roman" w:eastAsia="標楷體" w:hAnsi="Times New Roman" w:cs="Times New Roman"/>
          <w:color w:val="000000"/>
          <w:kern w:val="0"/>
          <w:sz w:val="22"/>
        </w:rPr>
        <w:t>型、市政債型等。</w:t>
      </w:r>
      <w:r w:rsidRPr="004356AB">
        <w:rPr>
          <w:rFonts w:ascii="Times New Roman" w:eastAsia="標楷體" w:hAnsi="Times New Roman" w:cs="Times New Roman"/>
          <w:color w:val="000000"/>
          <w:kern w:val="0"/>
          <w:sz w:val="22"/>
        </w:rPr>
        <w:t>CEF</w:t>
      </w:r>
      <w:r w:rsidRPr="004356AB">
        <w:rPr>
          <w:rFonts w:ascii="Times New Roman" w:eastAsia="標楷體" w:hAnsi="Times New Roman" w:cs="Times New Roman"/>
          <w:color w:val="000000"/>
          <w:kern w:val="0"/>
          <w:sz w:val="22"/>
        </w:rPr>
        <w:t>發行受益權單位數固定，當基金發行期滿、基金規模達到預定規模後，便不會再接受申購或贖回的基金。買賣</w:t>
      </w:r>
      <w:r w:rsidRPr="004356AB">
        <w:rPr>
          <w:rFonts w:ascii="Times New Roman" w:eastAsia="標楷體" w:hAnsi="Times New Roman" w:cs="Times New Roman"/>
          <w:color w:val="000000"/>
          <w:kern w:val="0"/>
          <w:sz w:val="22"/>
        </w:rPr>
        <w:t>CEF</w:t>
      </w:r>
      <w:r w:rsidRPr="004356AB">
        <w:rPr>
          <w:rFonts w:ascii="Times New Roman" w:eastAsia="標楷體" w:hAnsi="Times New Roman" w:cs="Times New Roman"/>
          <w:color w:val="000000"/>
          <w:kern w:val="0"/>
          <w:sz w:val="22"/>
        </w:rPr>
        <w:t>有可能會有市價與淨值產生折價或溢價的風險。此外，</w:t>
      </w:r>
      <w:r w:rsidRPr="004356AB">
        <w:rPr>
          <w:rFonts w:ascii="Times New Roman" w:eastAsia="標楷體" w:hAnsi="Times New Roman" w:cs="Times New Roman"/>
          <w:color w:val="000000"/>
          <w:kern w:val="0"/>
          <w:sz w:val="22"/>
        </w:rPr>
        <w:t>CEF</w:t>
      </w:r>
      <w:r w:rsidRPr="004356AB">
        <w:rPr>
          <w:rFonts w:ascii="Times New Roman" w:eastAsia="標楷體" w:hAnsi="Times New Roman" w:cs="Times New Roman"/>
          <w:color w:val="000000"/>
          <w:kern w:val="0"/>
          <w:sz w:val="22"/>
        </w:rPr>
        <w:t>也可能因流動性較差而導致價格波動大，在短時間內產生極大利潤或極大的損失，委託人於交易前應審慎考慮本身的財務能力及經濟狀況是否適合買賣此種商品。在決定從事交易前，委託人應瞭解投資可能產生之潛在風險，並應知悉下列各項事宜，以保護權益：</w:t>
      </w:r>
      <w:r w:rsidRPr="004356AB">
        <w:rPr>
          <w:rFonts w:ascii="Times New Roman" w:eastAsia="標楷體" w:hAnsi="Times New Roman" w:cs="Times New Roman"/>
          <w:color w:val="FF0000"/>
          <w:kern w:val="0"/>
          <w:sz w:val="22"/>
        </w:rPr>
        <w:t xml:space="preserve"> </w:t>
      </w:r>
    </w:p>
    <w:p w14:paraId="24A294C3"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一、買賣</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係基於獨立審慎之判斷後自行決定，並應於投資前明瞭所投資之</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可能有（包括但不限於）國家、利率、流動性、提前解約、匯兌、通貨膨脹、再投資、個別事件、稅賦、信用及連結標的市場影響等風險，證券商對委託人買賣之</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不會有任何投資獲利或保本之保證。</w:t>
      </w:r>
    </w:p>
    <w:p w14:paraId="0C31C7FF"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二、買賣</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即該基金所持有的投資組合證券的價值如下降，從而導致該基金的資產淨值和市場價格下降。基金投資組合中所持有之單一或全部股票的價值，可能會由於多種原因而增加或減少，其中包括股票發行人的業務活動和財務狀況，影響發行人業務或整個股市的市場和經濟狀況。</w:t>
      </w:r>
    </w:p>
    <w:p w14:paraId="6CD23C3A"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color w:val="FF0000"/>
          <w:kern w:val="0"/>
          <w:sz w:val="22"/>
        </w:rPr>
      </w:pPr>
      <w:r w:rsidRPr="004356AB">
        <w:rPr>
          <w:rFonts w:ascii="Times New Roman" w:eastAsia="標楷體" w:hAnsi="Times New Roman" w:cs="Times New Roman"/>
          <w:kern w:val="0"/>
          <w:sz w:val="22"/>
        </w:rPr>
        <w:t>三、</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可能須要承受一定程度的市場風險和信用風險。市場風險是利率上升，降低基金投資組合中的債券價值的風險。一般而言，基金投資組合所持有證券的剩餘到期時間或存續期間越長，其所面臨的利率風險越大，其資產淨值（</w:t>
      </w:r>
      <w:r w:rsidRPr="004356AB">
        <w:rPr>
          <w:rFonts w:ascii="Times New Roman" w:eastAsia="標楷體" w:hAnsi="Times New Roman" w:cs="Times New Roman"/>
          <w:kern w:val="0"/>
          <w:sz w:val="22"/>
        </w:rPr>
        <w:t>NAV</w:t>
      </w:r>
      <w:r w:rsidRPr="004356AB">
        <w:rPr>
          <w:rFonts w:ascii="Times New Roman" w:eastAsia="標楷體" w:hAnsi="Times New Roman" w:cs="Times New Roman"/>
          <w:kern w:val="0"/>
          <w:sz w:val="22"/>
        </w:rPr>
        <w:t>）的波動性就越大。信用風險是指基金所持有的債券發行人違約其支付本金和利息的承諾的風險。</w:t>
      </w:r>
    </w:p>
    <w:p w14:paraId="585D7EEB"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四、</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所投資之有價證券、商品、期貨或衍生性商品，係以外國貨幣交易，除實際交易產生損益外，也可能須負擔匯率風險，且投資之標的可能因利率、匯率或其他指標之變動，有直接導致本金損失之虞。</w:t>
      </w:r>
    </w:p>
    <w:p w14:paraId="15DAF556"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五、</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所投資之有價證券、商品、期貨或衍生性商品，如無漲跌幅限制，則</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有可能因價格波動幅度大而在短時間內產生極大利潤或極大損失。</w:t>
      </w:r>
    </w:p>
    <w:p w14:paraId="0C02904E" w14:textId="77777777"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六、</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所投資之有價證券、商品、期貨或衍生性商品交易時間與</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掛牌市場交易時間可能不同，發行人依規定於網站所揭露淨值，可能因時差關係，僅係以該國外交易所最近一營業日之收盤價計算。委託人應瞭解</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所投資之追蹤標的，如僅參考發行人於網站揭露之淨值作為買賣</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之依據，則可能會產生折溢價</w:t>
      </w:r>
      <w:r w:rsidRPr="004356AB">
        <w:rPr>
          <w:rFonts w:ascii="Times New Roman" w:eastAsia="標楷體" w:hAnsi="Times New Roman" w:cs="Times New Roman"/>
          <w:kern w:val="0"/>
          <w:sz w:val="22"/>
        </w:rPr>
        <w:t>(</w:t>
      </w:r>
      <w:r w:rsidRPr="004356AB">
        <w:rPr>
          <w:rFonts w:ascii="Times New Roman" w:eastAsia="標楷體" w:hAnsi="Times New Roman" w:cs="Times New Roman"/>
          <w:kern w:val="0"/>
          <w:sz w:val="22"/>
        </w:rPr>
        <w:t>即</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成交價格低於或高於淨值</w:t>
      </w:r>
      <w:r w:rsidRPr="004356AB">
        <w:rPr>
          <w:rFonts w:ascii="Times New Roman" w:eastAsia="標楷體" w:hAnsi="Times New Roman" w:cs="Times New Roman"/>
          <w:kern w:val="0"/>
          <w:sz w:val="22"/>
        </w:rPr>
        <w:t>)</w:t>
      </w:r>
      <w:r w:rsidRPr="004356AB">
        <w:rPr>
          <w:rFonts w:ascii="Times New Roman" w:eastAsia="標楷體" w:hAnsi="Times New Roman" w:cs="Times New Roman"/>
          <w:kern w:val="0"/>
          <w:sz w:val="22"/>
        </w:rPr>
        <w:t>風險。</w:t>
      </w:r>
    </w:p>
    <w:p w14:paraId="52ED912B" w14:textId="557A84DB" w:rsidR="004356AB" w:rsidRPr="004356AB" w:rsidRDefault="004356AB" w:rsidP="008B7CB4">
      <w:pPr>
        <w:widowControl/>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七、委託人如依市場報價買賣</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，有可能會出現買賣報價數量不足，或買賣報價價差較大之情況，投資前應詳細蒐集</w:t>
      </w:r>
      <w:r w:rsidRPr="004356AB">
        <w:rPr>
          <w:rFonts w:ascii="Times New Roman" w:eastAsia="標楷體" w:hAnsi="Times New Roman" w:cs="Times New Roman"/>
          <w:kern w:val="0"/>
          <w:sz w:val="22"/>
        </w:rPr>
        <w:t>CEF</w:t>
      </w:r>
      <w:r w:rsidRPr="004356AB">
        <w:rPr>
          <w:rFonts w:ascii="Times New Roman" w:eastAsia="標楷體" w:hAnsi="Times New Roman" w:cs="Times New Roman"/>
          <w:kern w:val="0"/>
          <w:sz w:val="22"/>
        </w:rPr>
        <w:t>買賣報價相關資訊，並注意流動性風險所可能造成之投資損失。</w:t>
      </w:r>
    </w:p>
    <w:p w14:paraId="7EE6EE1E" w14:textId="03BE592B" w:rsidR="004356AB" w:rsidRPr="004356AB" w:rsidRDefault="004356AB" w:rsidP="008B7CB4">
      <w:pPr>
        <w:widowControl/>
        <w:snapToGrid w:val="0"/>
        <w:spacing w:line="340" w:lineRule="exact"/>
        <w:ind w:left="425" w:hangingChars="193" w:hanging="425"/>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w:t>
      </w:r>
      <w:r w:rsidR="00B37FAF">
        <w:rPr>
          <w:rFonts w:ascii="Times New Roman" w:eastAsia="標楷體" w:hAnsi="Times New Roman" w:cs="Times New Roman" w:hint="eastAsia"/>
          <w:kern w:val="0"/>
          <w:sz w:val="22"/>
        </w:rPr>
        <w:t>==</w:t>
      </w:r>
    </w:p>
    <w:p w14:paraId="7C49EA62" w14:textId="77777777" w:rsidR="004356AB" w:rsidRPr="004356AB" w:rsidRDefault="004356AB" w:rsidP="008B7CB4">
      <w:pPr>
        <w:widowControl/>
        <w:snapToGrid w:val="0"/>
        <w:spacing w:line="340" w:lineRule="exact"/>
        <w:jc w:val="both"/>
        <w:rPr>
          <w:rFonts w:ascii="Times New Roman" w:eastAsia="標楷體" w:hAnsi="Times New Roman" w:cs="Times New Roman"/>
          <w:kern w:val="0"/>
          <w:sz w:val="22"/>
        </w:rPr>
      </w:pPr>
      <w:r w:rsidRPr="004356AB">
        <w:rPr>
          <w:rFonts w:ascii="Times New Roman" w:eastAsia="標楷體" w:hAnsi="Times New Roman" w:cs="Times New Roman"/>
          <w:kern w:val="0"/>
          <w:sz w:val="22"/>
        </w:rPr>
        <w:t>本風險預告書之預告事項甚為簡要，亦僅為列示性質，因此對所有投資風險及影響市場行情之因素無法逐項詳述，委託人於交易前，除已對本風險預告書詳加研讀外，對其他可能影響之因素亦須慎思明辨，並確實評估風險，以免因交易遭受難以承受之損失。</w:t>
      </w:r>
    </w:p>
    <w:p w14:paraId="4CEB09FF" w14:textId="26785098" w:rsidR="004356AB" w:rsidRPr="004356AB" w:rsidRDefault="004356AB" w:rsidP="008B7CB4">
      <w:pPr>
        <w:widowControl/>
        <w:snapToGrid w:val="0"/>
        <w:spacing w:line="340" w:lineRule="exact"/>
        <w:ind w:left="425" w:hangingChars="193" w:hanging="425"/>
        <w:rPr>
          <w:rFonts w:ascii="Times New Roman" w:eastAsia="標楷體" w:hAnsi="Times New Roman" w:cs="Times New Roman"/>
          <w:kern w:val="0"/>
          <w:sz w:val="22"/>
        </w:rPr>
      </w:pPr>
      <w:r w:rsidRPr="004356AB">
        <w:rPr>
          <w:rFonts w:ascii="Times New Roman" w:eastAsia="標楷體" w:hAnsi="Times New Roman" w:cs="Times New Roman"/>
          <w:kern w:val="0"/>
          <w:sz w:val="22"/>
        </w:rPr>
        <w:t>===========================================================================</w:t>
      </w:r>
      <w:r w:rsidR="00B37FAF">
        <w:rPr>
          <w:rFonts w:ascii="Times New Roman" w:eastAsia="標楷體" w:hAnsi="Times New Roman" w:cs="Times New Roman" w:hint="eastAsia"/>
          <w:kern w:val="0"/>
          <w:sz w:val="22"/>
        </w:rPr>
        <w:t>==</w:t>
      </w:r>
    </w:p>
    <w:p w14:paraId="690F7251" w14:textId="7FE9BED7" w:rsidR="00B37FAF" w:rsidRPr="00B37FAF" w:rsidRDefault="00B37FAF" w:rsidP="00BB53DF">
      <w:pPr>
        <w:spacing w:beforeLines="20" w:before="72" w:line="400" w:lineRule="exact"/>
        <w:rPr>
          <w:rFonts w:ascii="Times New Roman" w:eastAsia="標楷體" w:hAnsi="Times New Roman" w:cs="Times New Roman"/>
          <w:sz w:val="28"/>
          <w:szCs w:val="24"/>
        </w:rPr>
      </w:pPr>
      <w:r w:rsidRPr="00B37FAF">
        <w:rPr>
          <w:rFonts w:ascii="Times New Roman" w:eastAsia="標楷體" w:hAnsi="Times New Roman" w:cs="Times New Roman"/>
          <w:sz w:val="28"/>
          <w:szCs w:val="24"/>
        </w:rPr>
        <w:t>簽署人：</w:t>
      </w:r>
      <w:r w:rsidRPr="00B37FAF">
        <w:rPr>
          <w:rFonts w:ascii="Times New Roman" w:eastAsia="標楷體" w:hAnsi="Times New Roman" w:cs="Times New Roman"/>
          <w:sz w:val="28"/>
          <w:szCs w:val="24"/>
        </w:rPr>
        <w:t>__________________</w:t>
      </w:r>
      <w:r w:rsidRPr="00B37FAF">
        <w:rPr>
          <w:rFonts w:ascii="Times New Roman" w:eastAsia="標楷體" w:hAnsi="Times New Roman" w:cs="Times New Roman"/>
        </w:rPr>
        <w:t>（簽章）</w:t>
      </w:r>
      <w:r>
        <w:rPr>
          <w:rFonts w:ascii="Times New Roman" w:eastAsia="標楷體" w:hAnsi="Times New Roman" w:cs="Times New Roman" w:hint="eastAsia"/>
        </w:rPr>
        <w:t xml:space="preserve">  </w:t>
      </w:r>
      <w:r w:rsidRPr="00B37FAF">
        <w:rPr>
          <w:rFonts w:ascii="Times New Roman" w:eastAsia="標楷體" w:hAnsi="Times New Roman" w:cs="Times New Roman"/>
          <w:sz w:val="28"/>
          <w:szCs w:val="24"/>
        </w:rPr>
        <w:t>代表人：</w:t>
      </w:r>
      <w:r w:rsidRPr="00B37FAF">
        <w:rPr>
          <w:rFonts w:ascii="Times New Roman" w:eastAsia="標楷體" w:hAnsi="Times New Roman" w:cs="Times New Roman"/>
          <w:sz w:val="28"/>
          <w:szCs w:val="24"/>
        </w:rPr>
        <w:t>__________________</w:t>
      </w:r>
      <w:r w:rsidRPr="00B37FAF">
        <w:rPr>
          <w:rFonts w:ascii="Times New Roman" w:eastAsia="標楷體" w:hAnsi="Times New Roman" w:cs="Times New Roman"/>
        </w:rPr>
        <w:t>（簽章）</w:t>
      </w:r>
    </w:p>
    <w:p w14:paraId="1FE2F540" w14:textId="345B32C7" w:rsidR="00B37FAF" w:rsidRPr="00B37FAF" w:rsidRDefault="00B37FAF" w:rsidP="00BB53DF">
      <w:pPr>
        <w:spacing w:beforeLines="20" w:before="72" w:line="400" w:lineRule="exact"/>
        <w:rPr>
          <w:rFonts w:ascii="Times New Roman" w:eastAsia="標楷體" w:hAnsi="Times New Roman" w:cs="Times New Roman"/>
          <w:sz w:val="28"/>
          <w:szCs w:val="24"/>
        </w:rPr>
      </w:pPr>
      <w:r w:rsidRPr="00B37FAF">
        <w:rPr>
          <w:rFonts w:ascii="Times New Roman" w:eastAsia="標楷體" w:hAnsi="Times New Roman" w:cs="Times New Roman"/>
          <w:sz w:val="28"/>
          <w:szCs w:val="24"/>
        </w:rPr>
        <w:t>身分證字號或扣繳單位統一編號：</w:t>
      </w:r>
      <w:r w:rsidRPr="00B37FAF">
        <w:rPr>
          <w:rFonts w:ascii="Times New Roman" w:eastAsia="標楷體" w:hAnsi="Times New Roman" w:cs="Times New Roman"/>
          <w:sz w:val="28"/>
          <w:szCs w:val="24"/>
        </w:rPr>
        <w:t>__________________</w:t>
      </w:r>
    </w:p>
    <w:p w14:paraId="73A8B869" w14:textId="60E759D0" w:rsidR="004356AB" w:rsidRPr="008B7CB4" w:rsidRDefault="00B37FAF" w:rsidP="00BB53DF">
      <w:pPr>
        <w:spacing w:beforeLines="50" w:before="180" w:line="400" w:lineRule="exact"/>
        <w:jc w:val="distribute"/>
        <w:rPr>
          <w:rFonts w:ascii="Times New Roman" w:eastAsia="標楷體" w:hAnsi="Times New Roman" w:cs="Times New Roman"/>
          <w:szCs w:val="24"/>
        </w:rPr>
      </w:pPr>
      <w:r w:rsidRPr="008B7CB4">
        <w:rPr>
          <w:rFonts w:ascii="Times New Roman" w:eastAsia="標楷體" w:hAnsi="Times New Roman" w:cs="Times New Roman"/>
          <w:szCs w:val="24"/>
        </w:rPr>
        <w:t>中</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華</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民</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國</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年</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月</w:t>
      </w:r>
      <w:r w:rsidRPr="008B7CB4">
        <w:rPr>
          <w:rFonts w:ascii="Times New Roman" w:eastAsia="標楷體" w:hAnsi="Times New Roman" w:cs="Times New Roman"/>
          <w:szCs w:val="24"/>
        </w:rPr>
        <w:t xml:space="preserve">    </w:t>
      </w:r>
      <w:r w:rsidRPr="008B7CB4">
        <w:rPr>
          <w:rFonts w:ascii="Times New Roman" w:eastAsia="標楷體" w:hAnsi="Times New Roman" w:cs="Times New Roman"/>
          <w:szCs w:val="24"/>
        </w:rPr>
        <w:t>日</w:t>
      </w:r>
    </w:p>
    <w:sectPr w:rsidR="004356AB" w:rsidRPr="008B7CB4" w:rsidSect="004356A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5C50" w14:textId="77777777" w:rsidR="0093570A" w:rsidRDefault="0093570A" w:rsidP="00730F94">
      <w:r>
        <w:separator/>
      </w:r>
    </w:p>
  </w:endnote>
  <w:endnote w:type="continuationSeparator" w:id="0">
    <w:p w14:paraId="5FAA211C" w14:textId="77777777" w:rsidR="0093570A" w:rsidRDefault="0093570A" w:rsidP="007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76387"/>
      <w:docPartObj>
        <w:docPartGallery w:val="Page Numbers (Bottom of Page)"/>
        <w:docPartUnique/>
      </w:docPartObj>
    </w:sdtPr>
    <w:sdtEndPr/>
    <w:sdtContent>
      <w:p w14:paraId="6BAD46A7" w14:textId="31DF348F" w:rsidR="00362ECB" w:rsidRDefault="0093570A">
        <w:pPr>
          <w:pStyle w:val="a7"/>
          <w:jc w:val="center"/>
        </w:pPr>
      </w:p>
    </w:sdtContent>
  </w:sdt>
  <w:p w14:paraId="2BFAD7C9" w14:textId="77777777" w:rsidR="00362ECB" w:rsidRDefault="00362E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A027" w14:textId="77777777" w:rsidR="0093570A" w:rsidRDefault="0093570A" w:rsidP="00730F94">
      <w:r>
        <w:separator/>
      </w:r>
    </w:p>
  </w:footnote>
  <w:footnote w:type="continuationSeparator" w:id="0">
    <w:p w14:paraId="51F7E816" w14:textId="77777777" w:rsidR="0093570A" w:rsidRDefault="0093570A" w:rsidP="0073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6FD"/>
    <w:multiLevelType w:val="hybridMultilevel"/>
    <w:tmpl w:val="C5EEB536"/>
    <w:lvl w:ilvl="0" w:tplc="6D5A8C48">
      <w:start w:val="1"/>
      <w:numFmt w:val="taiwaneseCountingThousand"/>
      <w:lvlText w:val="%1、"/>
      <w:lvlJc w:val="left"/>
      <w:rPr>
        <w:rFonts w:ascii="標楷體" w:eastAsia="標楷體" w:hAnsi="標楷體"/>
        <w:b/>
        <w:bCs/>
        <w:color w:val="C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B2197B"/>
    <w:multiLevelType w:val="hybridMultilevel"/>
    <w:tmpl w:val="6B308824"/>
    <w:lvl w:ilvl="0" w:tplc="FC8E6E48">
      <w:start w:val="1"/>
      <w:numFmt w:val="decimal"/>
      <w:lvlText w:val="(%1)"/>
      <w:lvlJc w:val="left"/>
      <w:pPr>
        <w:ind w:left="720" w:hanging="360"/>
      </w:pPr>
      <w:rPr>
        <w:rFonts w:hint="default"/>
      </w:rPr>
    </w:lvl>
    <w:lvl w:ilvl="1" w:tplc="4ABC79C0">
      <w:start w:val="3"/>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50D7D99"/>
    <w:multiLevelType w:val="hybridMultilevel"/>
    <w:tmpl w:val="C20A8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34F7859"/>
    <w:multiLevelType w:val="hybridMultilevel"/>
    <w:tmpl w:val="3FFE7F82"/>
    <w:lvl w:ilvl="0" w:tplc="DFB23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7B52A6"/>
    <w:multiLevelType w:val="hybridMultilevel"/>
    <w:tmpl w:val="EFFC32C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4AC52055"/>
    <w:multiLevelType w:val="hybridMultilevel"/>
    <w:tmpl w:val="0302DDBA"/>
    <w:lvl w:ilvl="0" w:tplc="A75030A2">
      <w:start w:val="1"/>
      <w:numFmt w:val="decimal"/>
      <w:lvlText w:val="(%1)"/>
      <w:lvlJc w:val="left"/>
      <w:pPr>
        <w:ind w:left="1200" w:hanging="36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4714124"/>
    <w:multiLevelType w:val="hybridMultilevel"/>
    <w:tmpl w:val="D49C0672"/>
    <w:lvl w:ilvl="0" w:tplc="8286CF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890B02"/>
    <w:multiLevelType w:val="hybridMultilevel"/>
    <w:tmpl w:val="D534A1E6"/>
    <w:lvl w:ilvl="0" w:tplc="82F44722">
      <w:start w:val="1"/>
      <w:numFmt w:val="taiwaneseCountingThousand"/>
      <w:lvlText w:val="（%1）"/>
      <w:lvlJc w:val="left"/>
      <w:pPr>
        <w:ind w:left="885" w:hanging="885"/>
      </w:pPr>
      <w:rPr>
        <w:rFonts w:hAnsi="Times New Roman" w:hint="default"/>
        <w:color w:val="000000" w:themeColor="text1"/>
      </w:rPr>
    </w:lvl>
    <w:lvl w:ilvl="1" w:tplc="5C244900">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59254E"/>
    <w:multiLevelType w:val="hybridMultilevel"/>
    <w:tmpl w:val="F31C31FC"/>
    <w:lvl w:ilvl="0" w:tplc="A4BEAEC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4B55DC"/>
    <w:multiLevelType w:val="hybridMultilevel"/>
    <w:tmpl w:val="F5C4E056"/>
    <w:lvl w:ilvl="0" w:tplc="EB7A47F4">
      <w:start w:val="1"/>
      <w:numFmt w:val="decimal"/>
      <w:lvlText w:val="(%1)"/>
      <w:lvlJc w:val="left"/>
      <w:pPr>
        <w:ind w:left="480" w:hanging="480"/>
      </w:pPr>
      <w:rPr>
        <w:rFonts w:ascii="微軟正黑體" w:eastAsia="微軟正黑體" w:hAnsi="微軟正黑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num>
  <w:num w:numId="6">
    <w:abstractNumId w:val="4"/>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45"/>
    <w:rsid w:val="00016C01"/>
    <w:rsid w:val="00034508"/>
    <w:rsid w:val="0006005C"/>
    <w:rsid w:val="000840B8"/>
    <w:rsid w:val="000B05AD"/>
    <w:rsid w:val="00103B59"/>
    <w:rsid w:val="00131C07"/>
    <w:rsid w:val="00132F0B"/>
    <w:rsid w:val="00176F25"/>
    <w:rsid w:val="00184C6C"/>
    <w:rsid w:val="001C131E"/>
    <w:rsid w:val="0023785D"/>
    <w:rsid w:val="00254A60"/>
    <w:rsid w:val="00261BB2"/>
    <w:rsid w:val="00271A7A"/>
    <w:rsid w:val="00281C36"/>
    <w:rsid w:val="00330EF1"/>
    <w:rsid w:val="00331BEE"/>
    <w:rsid w:val="00356945"/>
    <w:rsid w:val="00362ECB"/>
    <w:rsid w:val="00374A91"/>
    <w:rsid w:val="003A5AB9"/>
    <w:rsid w:val="003D5A21"/>
    <w:rsid w:val="003D6989"/>
    <w:rsid w:val="003F505F"/>
    <w:rsid w:val="004356AB"/>
    <w:rsid w:val="00437080"/>
    <w:rsid w:val="00492411"/>
    <w:rsid w:val="00500778"/>
    <w:rsid w:val="0051029E"/>
    <w:rsid w:val="005146FE"/>
    <w:rsid w:val="00517822"/>
    <w:rsid w:val="00532B93"/>
    <w:rsid w:val="005816EE"/>
    <w:rsid w:val="006065D3"/>
    <w:rsid w:val="006371DF"/>
    <w:rsid w:val="006577B5"/>
    <w:rsid w:val="006850B6"/>
    <w:rsid w:val="006A658A"/>
    <w:rsid w:val="006C712B"/>
    <w:rsid w:val="00730F94"/>
    <w:rsid w:val="007735D2"/>
    <w:rsid w:val="00797290"/>
    <w:rsid w:val="007A0767"/>
    <w:rsid w:val="007A2288"/>
    <w:rsid w:val="007B1A09"/>
    <w:rsid w:val="007D128A"/>
    <w:rsid w:val="00801A5B"/>
    <w:rsid w:val="00815F53"/>
    <w:rsid w:val="0082558D"/>
    <w:rsid w:val="008B7CB4"/>
    <w:rsid w:val="008E4BE9"/>
    <w:rsid w:val="0092087C"/>
    <w:rsid w:val="0093570A"/>
    <w:rsid w:val="0095773A"/>
    <w:rsid w:val="00A034AB"/>
    <w:rsid w:val="00A74AD9"/>
    <w:rsid w:val="00B07265"/>
    <w:rsid w:val="00B10083"/>
    <w:rsid w:val="00B27DAE"/>
    <w:rsid w:val="00B37FAF"/>
    <w:rsid w:val="00BA7589"/>
    <w:rsid w:val="00BB53DF"/>
    <w:rsid w:val="00C33E28"/>
    <w:rsid w:val="00C60A8D"/>
    <w:rsid w:val="00C9228D"/>
    <w:rsid w:val="00C96BC8"/>
    <w:rsid w:val="00CE4584"/>
    <w:rsid w:val="00D04908"/>
    <w:rsid w:val="00D52CA4"/>
    <w:rsid w:val="00D6543D"/>
    <w:rsid w:val="00DF3132"/>
    <w:rsid w:val="00E142F9"/>
    <w:rsid w:val="00E53AF9"/>
    <w:rsid w:val="00EA29EC"/>
    <w:rsid w:val="00EC0826"/>
    <w:rsid w:val="00ED45B7"/>
    <w:rsid w:val="00F37B18"/>
    <w:rsid w:val="00F526D3"/>
    <w:rsid w:val="00F72074"/>
    <w:rsid w:val="00FA1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A3B8"/>
  <w15:chartTrackingRefBased/>
  <w15:docId w15:val="{61EAAF70-BB8A-4BED-8A11-DED15DD0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33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33E28"/>
    <w:rPr>
      <w:rFonts w:ascii="細明體" w:eastAsia="細明體" w:hAnsi="細明體" w:cs="細明體"/>
      <w:kern w:val="0"/>
      <w:szCs w:val="24"/>
    </w:rPr>
  </w:style>
  <w:style w:type="character" w:customStyle="1" w:styleId="y2iqfc">
    <w:name w:val="y2iqfc"/>
    <w:basedOn w:val="a0"/>
    <w:rsid w:val="00C33E28"/>
  </w:style>
  <w:style w:type="paragraph" w:styleId="a3">
    <w:name w:val="List Paragraph"/>
    <w:basedOn w:val="a"/>
    <w:uiPriority w:val="34"/>
    <w:qFormat/>
    <w:rsid w:val="00F72074"/>
    <w:pPr>
      <w:ind w:leftChars="200" w:left="480"/>
    </w:pPr>
  </w:style>
  <w:style w:type="character" w:styleId="a4">
    <w:name w:val="Hyperlink"/>
    <w:basedOn w:val="a0"/>
    <w:uiPriority w:val="99"/>
    <w:unhideWhenUsed/>
    <w:rsid w:val="005146FE"/>
    <w:rPr>
      <w:color w:val="0563C1"/>
      <w:u w:val="single"/>
    </w:rPr>
  </w:style>
  <w:style w:type="paragraph" w:styleId="a5">
    <w:name w:val="header"/>
    <w:basedOn w:val="a"/>
    <w:link w:val="a6"/>
    <w:uiPriority w:val="99"/>
    <w:unhideWhenUsed/>
    <w:rsid w:val="00730F94"/>
    <w:pPr>
      <w:tabs>
        <w:tab w:val="center" w:pos="4153"/>
        <w:tab w:val="right" w:pos="8306"/>
      </w:tabs>
      <w:snapToGrid w:val="0"/>
    </w:pPr>
    <w:rPr>
      <w:sz w:val="20"/>
      <w:szCs w:val="20"/>
    </w:rPr>
  </w:style>
  <w:style w:type="character" w:customStyle="1" w:styleId="a6">
    <w:name w:val="頁首 字元"/>
    <w:basedOn w:val="a0"/>
    <w:link w:val="a5"/>
    <w:uiPriority w:val="99"/>
    <w:rsid w:val="00730F94"/>
    <w:rPr>
      <w:sz w:val="20"/>
      <w:szCs w:val="20"/>
    </w:rPr>
  </w:style>
  <w:style w:type="paragraph" w:styleId="a7">
    <w:name w:val="footer"/>
    <w:basedOn w:val="a"/>
    <w:link w:val="a8"/>
    <w:uiPriority w:val="99"/>
    <w:unhideWhenUsed/>
    <w:rsid w:val="00730F94"/>
    <w:pPr>
      <w:tabs>
        <w:tab w:val="center" w:pos="4153"/>
        <w:tab w:val="right" w:pos="8306"/>
      </w:tabs>
      <w:snapToGrid w:val="0"/>
    </w:pPr>
    <w:rPr>
      <w:sz w:val="20"/>
      <w:szCs w:val="20"/>
    </w:rPr>
  </w:style>
  <w:style w:type="character" w:customStyle="1" w:styleId="a8">
    <w:name w:val="頁尾 字元"/>
    <w:basedOn w:val="a0"/>
    <w:link w:val="a7"/>
    <w:uiPriority w:val="99"/>
    <w:rsid w:val="00730F94"/>
    <w:rPr>
      <w:sz w:val="20"/>
      <w:szCs w:val="20"/>
    </w:rPr>
  </w:style>
  <w:style w:type="paragraph" w:customStyle="1" w:styleId="xmsonormal">
    <w:name w:val="x_msonormal"/>
    <w:basedOn w:val="a"/>
    <w:rsid w:val="00730F94"/>
    <w:pPr>
      <w:widowControl/>
      <w:spacing w:before="100" w:beforeAutospacing="1" w:after="100" w:afterAutospacing="1"/>
    </w:pPr>
    <w:rPr>
      <w:rFonts w:ascii="新細明體" w:eastAsia="新細明體" w:hAnsi="新細明體" w:cs="新細明體"/>
      <w:kern w:val="0"/>
      <w:szCs w:val="24"/>
    </w:rPr>
  </w:style>
  <w:style w:type="character" w:customStyle="1" w:styleId="markeqxvdbe1y">
    <w:name w:val="markeqxvdbe1y"/>
    <w:basedOn w:val="a0"/>
    <w:rsid w:val="00730F94"/>
  </w:style>
  <w:style w:type="paragraph" w:customStyle="1" w:styleId="xmsolistparagraph">
    <w:name w:val="x_msolistparagraph"/>
    <w:basedOn w:val="a"/>
    <w:rsid w:val="00730F94"/>
    <w:pPr>
      <w:widowControl/>
      <w:spacing w:before="100" w:beforeAutospacing="1" w:after="100" w:afterAutospacing="1"/>
    </w:pPr>
    <w:rPr>
      <w:rFonts w:ascii="新細明體" w:eastAsia="新細明體" w:hAnsi="新細明體" w:cs="新細明體"/>
      <w:kern w:val="0"/>
      <w:szCs w:val="24"/>
    </w:rPr>
  </w:style>
  <w:style w:type="character" w:customStyle="1" w:styleId="marksqzupffg7">
    <w:name w:val="marksqzupffg7"/>
    <w:basedOn w:val="a0"/>
    <w:rsid w:val="00730F94"/>
  </w:style>
  <w:style w:type="character" w:styleId="a9">
    <w:name w:val="FollowedHyperlink"/>
    <w:basedOn w:val="a0"/>
    <w:uiPriority w:val="99"/>
    <w:semiHidden/>
    <w:unhideWhenUsed/>
    <w:rsid w:val="00A034AB"/>
    <w:rPr>
      <w:color w:val="954F72" w:themeColor="followedHyperlink"/>
      <w:u w:val="single"/>
    </w:rPr>
  </w:style>
  <w:style w:type="paragraph" w:styleId="Web">
    <w:name w:val="Normal (Web)"/>
    <w:basedOn w:val="a"/>
    <w:uiPriority w:val="99"/>
    <w:semiHidden/>
    <w:unhideWhenUsed/>
    <w:rsid w:val="00A034AB"/>
    <w:pPr>
      <w:widowControl/>
      <w:spacing w:before="100" w:beforeAutospacing="1" w:after="100" w:afterAutospacing="1"/>
    </w:pPr>
    <w:rPr>
      <w:rFonts w:ascii="新細明體" w:eastAsia="新細明體" w:hAnsi="新細明體" w:cs="新細明體"/>
      <w:kern w:val="0"/>
      <w:szCs w:val="24"/>
    </w:rPr>
  </w:style>
  <w:style w:type="character" w:styleId="aa">
    <w:name w:val="Unresolved Mention"/>
    <w:basedOn w:val="a0"/>
    <w:uiPriority w:val="99"/>
    <w:semiHidden/>
    <w:unhideWhenUsed/>
    <w:rsid w:val="007735D2"/>
    <w:rPr>
      <w:color w:val="605E5C"/>
      <w:shd w:val="clear" w:color="auto" w:fill="E1DFDD"/>
    </w:rPr>
  </w:style>
  <w:style w:type="table" w:styleId="4-1">
    <w:name w:val="Grid Table 4 Accent 1"/>
    <w:basedOn w:val="a1"/>
    <w:uiPriority w:val="49"/>
    <w:rsid w:val="00FA1AB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1">
    <w:name w:val="List Table 2 Accent 1"/>
    <w:basedOn w:val="a1"/>
    <w:uiPriority w:val="47"/>
    <w:rsid w:val="00FA1ABD"/>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3-3">
    <w:name w:val="List Table 3 Accent 3"/>
    <w:basedOn w:val="a1"/>
    <w:uiPriority w:val="48"/>
    <w:rsid w:val="00FA1AB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b">
    <w:name w:val="Table Grid"/>
    <w:basedOn w:val="a1"/>
    <w:uiPriority w:val="39"/>
    <w:rsid w:val="00184C6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76F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7303">
      <w:bodyDiv w:val="1"/>
      <w:marLeft w:val="0"/>
      <w:marRight w:val="0"/>
      <w:marTop w:val="0"/>
      <w:marBottom w:val="0"/>
      <w:divBdr>
        <w:top w:val="none" w:sz="0" w:space="0" w:color="auto"/>
        <w:left w:val="none" w:sz="0" w:space="0" w:color="auto"/>
        <w:bottom w:val="none" w:sz="0" w:space="0" w:color="auto"/>
        <w:right w:val="none" w:sz="0" w:space="0" w:color="auto"/>
      </w:divBdr>
    </w:div>
    <w:div w:id="321549944">
      <w:bodyDiv w:val="1"/>
      <w:marLeft w:val="0"/>
      <w:marRight w:val="0"/>
      <w:marTop w:val="0"/>
      <w:marBottom w:val="0"/>
      <w:divBdr>
        <w:top w:val="none" w:sz="0" w:space="0" w:color="auto"/>
        <w:left w:val="none" w:sz="0" w:space="0" w:color="auto"/>
        <w:bottom w:val="none" w:sz="0" w:space="0" w:color="auto"/>
        <w:right w:val="none" w:sz="0" w:space="0" w:color="auto"/>
      </w:divBdr>
    </w:div>
    <w:div w:id="341395449">
      <w:bodyDiv w:val="1"/>
      <w:marLeft w:val="0"/>
      <w:marRight w:val="0"/>
      <w:marTop w:val="0"/>
      <w:marBottom w:val="0"/>
      <w:divBdr>
        <w:top w:val="none" w:sz="0" w:space="0" w:color="auto"/>
        <w:left w:val="none" w:sz="0" w:space="0" w:color="auto"/>
        <w:bottom w:val="none" w:sz="0" w:space="0" w:color="auto"/>
        <w:right w:val="none" w:sz="0" w:space="0" w:color="auto"/>
      </w:divBdr>
      <w:divsChild>
        <w:div w:id="1063412771">
          <w:marLeft w:val="0"/>
          <w:marRight w:val="0"/>
          <w:marTop w:val="100"/>
          <w:marBottom w:val="0"/>
          <w:divBdr>
            <w:top w:val="none" w:sz="0" w:space="0" w:color="auto"/>
            <w:left w:val="none" w:sz="0" w:space="0" w:color="auto"/>
            <w:bottom w:val="none" w:sz="0" w:space="0" w:color="auto"/>
            <w:right w:val="none" w:sz="0" w:space="0" w:color="auto"/>
          </w:divBdr>
          <w:divsChild>
            <w:div w:id="574705117">
              <w:marLeft w:val="0"/>
              <w:marRight w:val="0"/>
              <w:marTop w:val="60"/>
              <w:marBottom w:val="0"/>
              <w:divBdr>
                <w:top w:val="none" w:sz="0" w:space="0" w:color="auto"/>
                <w:left w:val="none" w:sz="0" w:space="0" w:color="auto"/>
                <w:bottom w:val="none" w:sz="0" w:space="0" w:color="auto"/>
                <w:right w:val="none" w:sz="0" w:space="0" w:color="auto"/>
              </w:divBdr>
            </w:div>
          </w:divsChild>
        </w:div>
        <w:div w:id="965233163">
          <w:marLeft w:val="0"/>
          <w:marRight w:val="0"/>
          <w:marTop w:val="0"/>
          <w:marBottom w:val="0"/>
          <w:divBdr>
            <w:top w:val="none" w:sz="0" w:space="0" w:color="auto"/>
            <w:left w:val="none" w:sz="0" w:space="0" w:color="auto"/>
            <w:bottom w:val="none" w:sz="0" w:space="0" w:color="auto"/>
            <w:right w:val="none" w:sz="0" w:space="0" w:color="auto"/>
          </w:divBdr>
          <w:divsChild>
            <w:div w:id="445005193">
              <w:marLeft w:val="0"/>
              <w:marRight w:val="0"/>
              <w:marTop w:val="0"/>
              <w:marBottom w:val="0"/>
              <w:divBdr>
                <w:top w:val="none" w:sz="0" w:space="0" w:color="auto"/>
                <w:left w:val="none" w:sz="0" w:space="0" w:color="auto"/>
                <w:bottom w:val="none" w:sz="0" w:space="0" w:color="auto"/>
                <w:right w:val="none" w:sz="0" w:space="0" w:color="auto"/>
              </w:divBdr>
              <w:divsChild>
                <w:div w:id="1065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9716">
      <w:bodyDiv w:val="1"/>
      <w:marLeft w:val="0"/>
      <w:marRight w:val="0"/>
      <w:marTop w:val="0"/>
      <w:marBottom w:val="0"/>
      <w:divBdr>
        <w:top w:val="none" w:sz="0" w:space="0" w:color="auto"/>
        <w:left w:val="none" w:sz="0" w:space="0" w:color="auto"/>
        <w:bottom w:val="none" w:sz="0" w:space="0" w:color="auto"/>
        <w:right w:val="none" w:sz="0" w:space="0" w:color="auto"/>
      </w:divBdr>
    </w:div>
    <w:div w:id="853107839">
      <w:bodyDiv w:val="1"/>
      <w:marLeft w:val="0"/>
      <w:marRight w:val="0"/>
      <w:marTop w:val="0"/>
      <w:marBottom w:val="0"/>
      <w:divBdr>
        <w:top w:val="none" w:sz="0" w:space="0" w:color="auto"/>
        <w:left w:val="none" w:sz="0" w:space="0" w:color="auto"/>
        <w:bottom w:val="none" w:sz="0" w:space="0" w:color="auto"/>
        <w:right w:val="none" w:sz="0" w:space="0" w:color="auto"/>
      </w:divBdr>
      <w:divsChild>
        <w:div w:id="33191465">
          <w:marLeft w:val="0"/>
          <w:marRight w:val="0"/>
          <w:marTop w:val="100"/>
          <w:marBottom w:val="0"/>
          <w:divBdr>
            <w:top w:val="none" w:sz="0" w:space="0" w:color="auto"/>
            <w:left w:val="none" w:sz="0" w:space="0" w:color="auto"/>
            <w:bottom w:val="none" w:sz="0" w:space="0" w:color="auto"/>
            <w:right w:val="none" w:sz="0" w:space="0" w:color="auto"/>
          </w:divBdr>
          <w:divsChild>
            <w:div w:id="1863547789">
              <w:marLeft w:val="0"/>
              <w:marRight w:val="0"/>
              <w:marTop w:val="60"/>
              <w:marBottom w:val="0"/>
              <w:divBdr>
                <w:top w:val="none" w:sz="0" w:space="0" w:color="auto"/>
                <w:left w:val="none" w:sz="0" w:space="0" w:color="auto"/>
                <w:bottom w:val="none" w:sz="0" w:space="0" w:color="auto"/>
                <w:right w:val="none" w:sz="0" w:space="0" w:color="auto"/>
              </w:divBdr>
            </w:div>
          </w:divsChild>
        </w:div>
        <w:div w:id="1107314401">
          <w:marLeft w:val="0"/>
          <w:marRight w:val="0"/>
          <w:marTop w:val="0"/>
          <w:marBottom w:val="0"/>
          <w:divBdr>
            <w:top w:val="none" w:sz="0" w:space="0" w:color="auto"/>
            <w:left w:val="none" w:sz="0" w:space="0" w:color="auto"/>
            <w:bottom w:val="none" w:sz="0" w:space="0" w:color="auto"/>
            <w:right w:val="none" w:sz="0" w:space="0" w:color="auto"/>
          </w:divBdr>
          <w:divsChild>
            <w:div w:id="1163157599">
              <w:marLeft w:val="0"/>
              <w:marRight w:val="0"/>
              <w:marTop w:val="0"/>
              <w:marBottom w:val="0"/>
              <w:divBdr>
                <w:top w:val="none" w:sz="0" w:space="0" w:color="auto"/>
                <w:left w:val="none" w:sz="0" w:space="0" w:color="auto"/>
                <w:bottom w:val="none" w:sz="0" w:space="0" w:color="auto"/>
                <w:right w:val="none" w:sz="0" w:space="0" w:color="auto"/>
              </w:divBdr>
              <w:divsChild>
                <w:div w:id="10174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3119">
      <w:bodyDiv w:val="1"/>
      <w:marLeft w:val="0"/>
      <w:marRight w:val="0"/>
      <w:marTop w:val="0"/>
      <w:marBottom w:val="0"/>
      <w:divBdr>
        <w:top w:val="none" w:sz="0" w:space="0" w:color="auto"/>
        <w:left w:val="none" w:sz="0" w:space="0" w:color="auto"/>
        <w:bottom w:val="none" w:sz="0" w:space="0" w:color="auto"/>
        <w:right w:val="none" w:sz="0" w:space="0" w:color="auto"/>
      </w:divBdr>
    </w:div>
    <w:div w:id="1510635934">
      <w:bodyDiv w:val="1"/>
      <w:marLeft w:val="0"/>
      <w:marRight w:val="0"/>
      <w:marTop w:val="0"/>
      <w:marBottom w:val="0"/>
      <w:divBdr>
        <w:top w:val="none" w:sz="0" w:space="0" w:color="auto"/>
        <w:left w:val="none" w:sz="0" w:space="0" w:color="auto"/>
        <w:bottom w:val="none" w:sz="0" w:space="0" w:color="auto"/>
        <w:right w:val="none" w:sz="0" w:space="0" w:color="auto"/>
      </w:divBdr>
    </w:div>
    <w:div w:id="1521357293">
      <w:bodyDiv w:val="1"/>
      <w:marLeft w:val="0"/>
      <w:marRight w:val="0"/>
      <w:marTop w:val="0"/>
      <w:marBottom w:val="0"/>
      <w:divBdr>
        <w:top w:val="none" w:sz="0" w:space="0" w:color="auto"/>
        <w:left w:val="none" w:sz="0" w:space="0" w:color="auto"/>
        <w:bottom w:val="none" w:sz="0" w:space="0" w:color="auto"/>
        <w:right w:val="none" w:sz="0" w:space="0" w:color="auto"/>
      </w:divBdr>
    </w:div>
    <w:div w:id="1712075400">
      <w:bodyDiv w:val="1"/>
      <w:marLeft w:val="0"/>
      <w:marRight w:val="0"/>
      <w:marTop w:val="0"/>
      <w:marBottom w:val="0"/>
      <w:divBdr>
        <w:top w:val="none" w:sz="0" w:space="0" w:color="auto"/>
        <w:left w:val="none" w:sz="0" w:space="0" w:color="auto"/>
        <w:bottom w:val="none" w:sz="0" w:space="0" w:color="auto"/>
        <w:right w:val="none" w:sz="0" w:space="0" w:color="auto"/>
      </w:divBdr>
    </w:div>
    <w:div w:id="1778257096">
      <w:bodyDiv w:val="1"/>
      <w:marLeft w:val="0"/>
      <w:marRight w:val="0"/>
      <w:marTop w:val="0"/>
      <w:marBottom w:val="0"/>
      <w:divBdr>
        <w:top w:val="none" w:sz="0" w:space="0" w:color="auto"/>
        <w:left w:val="none" w:sz="0" w:space="0" w:color="auto"/>
        <w:bottom w:val="none" w:sz="0" w:space="0" w:color="auto"/>
        <w:right w:val="none" w:sz="0" w:space="0" w:color="auto"/>
      </w:divBdr>
    </w:div>
    <w:div w:id="1858617008">
      <w:bodyDiv w:val="1"/>
      <w:marLeft w:val="0"/>
      <w:marRight w:val="0"/>
      <w:marTop w:val="0"/>
      <w:marBottom w:val="0"/>
      <w:divBdr>
        <w:top w:val="none" w:sz="0" w:space="0" w:color="auto"/>
        <w:left w:val="none" w:sz="0" w:space="0" w:color="auto"/>
        <w:bottom w:val="none" w:sz="0" w:space="0" w:color="auto"/>
        <w:right w:val="none" w:sz="0" w:space="0" w:color="auto"/>
      </w:divBdr>
      <w:divsChild>
        <w:div w:id="1187526747">
          <w:marLeft w:val="0"/>
          <w:marRight w:val="0"/>
          <w:marTop w:val="100"/>
          <w:marBottom w:val="0"/>
          <w:divBdr>
            <w:top w:val="none" w:sz="0" w:space="0" w:color="auto"/>
            <w:left w:val="none" w:sz="0" w:space="0" w:color="auto"/>
            <w:bottom w:val="none" w:sz="0" w:space="0" w:color="auto"/>
            <w:right w:val="none" w:sz="0" w:space="0" w:color="auto"/>
          </w:divBdr>
          <w:divsChild>
            <w:div w:id="1441410513">
              <w:marLeft w:val="0"/>
              <w:marRight w:val="0"/>
              <w:marTop w:val="60"/>
              <w:marBottom w:val="0"/>
              <w:divBdr>
                <w:top w:val="none" w:sz="0" w:space="0" w:color="auto"/>
                <w:left w:val="none" w:sz="0" w:space="0" w:color="auto"/>
                <w:bottom w:val="none" w:sz="0" w:space="0" w:color="auto"/>
                <w:right w:val="none" w:sz="0" w:space="0" w:color="auto"/>
              </w:divBdr>
            </w:div>
          </w:divsChild>
        </w:div>
        <w:div w:id="339702244">
          <w:marLeft w:val="0"/>
          <w:marRight w:val="0"/>
          <w:marTop w:val="0"/>
          <w:marBottom w:val="0"/>
          <w:divBdr>
            <w:top w:val="none" w:sz="0" w:space="0" w:color="auto"/>
            <w:left w:val="none" w:sz="0" w:space="0" w:color="auto"/>
            <w:bottom w:val="none" w:sz="0" w:space="0" w:color="auto"/>
            <w:right w:val="none" w:sz="0" w:space="0" w:color="auto"/>
          </w:divBdr>
          <w:divsChild>
            <w:div w:id="1752123157">
              <w:marLeft w:val="0"/>
              <w:marRight w:val="0"/>
              <w:marTop w:val="0"/>
              <w:marBottom w:val="0"/>
              <w:divBdr>
                <w:top w:val="none" w:sz="0" w:space="0" w:color="auto"/>
                <w:left w:val="none" w:sz="0" w:space="0" w:color="auto"/>
                <w:bottom w:val="none" w:sz="0" w:space="0" w:color="auto"/>
                <w:right w:val="none" w:sz="0" w:space="0" w:color="auto"/>
              </w:divBdr>
              <w:divsChild>
                <w:div w:id="4347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4653-C7AB-44E5-8F0A-8B8F8CF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廖益誠 ScottLiao (Yuanta)</dc:creator>
  <cp:keywords/>
  <dc:description/>
  <cp:lastModifiedBy>張嘉純</cp:lastModifiedBy>
  <cp:revision>3</cp:revision>
  <cp:lastPrinted>2021-09-30T07:45:00Z</cp:lastPrinted>
  <dcterms:created xsi:type="dcterms:W3CDTF">2021-12-15T02:33:00Z</dcterms:created>
  <dcterms:modified xsi:type="dcterms:W3CDTF">2021-12-15T02:37:00Z</dcterms:modified>
</cp:coreProperties>
</file>